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77777777" w:rsidR="004377F8" w:rsidRDefault="00000000">
      <w:pPr>
        <w:spacing w:line="500" w:lineRule="exact"/>
        <w:jc w:val="center"/>
        <w:rPr>
          <w:rFonts w:ascii="仿宋" w:eastAsia="仿宋" w:hAnsi="仿宋" w:cs="仿宋"/>
          <w:b/>
          <w:spacing w:val="6"/>
          <w:sz w:val="32"/>
          <w:szCs w:val="32"/>
        </w:rPr>
      </w:pPr>
      <w:r>
        <w:rPr>
          <w:rFonts w:ascii="仿宋" w:eastAsia="仿宋" w:hAnsi="仿宋" w:cs="仿宋" w:hint="eastAsia"/>
          <w:b/>
          <w:spacing w:val="6"/>
          <w:sz w:val="32"/>
          <w:szCs w:val="32"/>
        </w:rPr>
        <w:t>智能制造系电脑设备维修</w:t>
      </w:r>
      <w:r>
        <w:rPr>
          <w:rFonts w:ascii="仿宋" w:eastAsia="仿宋" w:hAnsi="仿宋" w:cs="仿宋"/>
          <w:b/>
          <w:spacing w:val="6"/>
          <w:sz w:val="32"/>
          <w:szCs w:val="32"/>
        </w:rPr>
        <w:t>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77777777"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0033</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江苏省南通工贸技师学院就智能制造系电脑设备维修项目(项目编号: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0033)进行招标采购，欢迎符合条件的供应商投标。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[智能制造系电脑设备维修项目]的潜在投标人应在江苏省南通工贸技师学院官网获取招标文件，并于202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年6月28日9点30分（北京时间）前递交投标文件。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0033</w:t>
      </w:r>
    </w:p>
    <w:p w14:paraId="6057035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项目名称：智能制造系电脑设备维修项目</w:t>
      </w:r>
    </w:p>
    <w:p w14:paraId="0528E28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项目预算/最高限价：49000元，投标报价超过最高限价的作无效标处理。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55CA73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7C9FAB0" w14:textId="77777777"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年6月25日至202</w:t>
      </w:r>
      <w:r>
        <w:rPr>
          <w:rFonts w:ascii="仿宋" w:eastAsia="仿宋" w:hAnsi="仿宋"/>
          <w:sz w:val="29"/>
          <w:szCs w:val="29"/>
        </w:rPr>
        <w:t>4</w:t>
      </w:r>
      <w:r>
        <w:rPr>
          <w:rFonts w:ascii="仿宋" w:eastAsia="仿宋" w:hAnsi="仿宋" w:hint="eastAsia"/>
          <w:sz w:val="29"/>
          <w:szCs w:val="29"/>
        </w:rPr>
        <w:t>年6月28日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77777777"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年6月28日9点30分，</w:t>
      </w:r>
      <w:r>
        <w:rPr>
          <w:rFonts w:ascii="仿宋" w:eastAsia="仿宋" w:hAnsi="仿宋" w:hint="eastAsia"/>
          <w:sz w:val="28"/>
          <w:szCs w:val="28"/>
        </w:rPr>
        <w:lastRenderedPageBreak/>
        <w:t>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需求部门及联系人：智能制造系冯老师</w:t>
      </w:r>
      <w:r>
        <w:rPr>
          <w:rFonts w:ascii="仿宋" w:eastAsia="仿宋" w:hAnsi="仿宋"/>
          <w:sz w:val="28"/>
          <w:szCs w:val="28"/>
        </w:rPr>
        <w:t>13962801471</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77777777" w:rsidR="004377F8" w:rsidRDefault="00000000">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智能制造系因教学需要，对系部所属</w:t>
      </w:r>
      <w:r>
        <w:rPr>
          <w:rFonts w:ascii="仿宋" w:eastAsia="仿宋" w:hAnsi="仿宋"/>
          <w:sz w:val="28"/>
          <w:szCs w:val="28"/>
        </w:rPr>
        <w:t>27台数控实习用电脑进行维修</w:t>
      </w:r>
      <w:r>
        <w:rPr>
          <w:rFonts w:ascii="仿宋" w:eastAsia="仿宋" w:hAnsi="仿宋" w:hint="eastAsia"/>
          <w:sz w:val="28"/>
          <w:szCs w:val="28"/>
        </w:rPr>
        <w:t>，</w:t>
      </w:r>
      <w:r w:rsidRPr="00571A5F">
        <w:rPr>
          <w:rFonts w:ascii="仿宋" w:eastAsia="仿宋" w:hAnsi="仿宋" w:hint="eastAsia"/>
          <w:sz w:val="28"/>
          <w:szCs w:val="28"/>
        </w:rPr>
        <w:t>达到三维大型软件可流畅运行使用状态</w:t>
      </w:r>
      <w:r>
        <w:rPr>
          <w:rFonts w:ascii="仿宋" w:eastAsia="仿宋" w:hAnsi="仿宋" w:hint="eastAsia"/>
          <w:sz w:val="28"/>
          <w:szCs w:val="28"/>
        </w:rPr>
        <w:t>。</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Style w:val="a9"/>
        <w:tblW w:w="0" w:type="auto"/>
        <w:jc w:val="center"/>
        <w:tblLook w:val="04A0" w:firstRow="1" w:lastRow="0" w:firstColumn="1" w:lastColumn="0" w:noHBand="0" w:noVBand="1"/>
      </w:tblPr>
      <w:tblGrid>
        <w:gridCol w:w="2130"/>
        <w:gridCol w:w="2130"/>
        <w:gridCol w:w="2131"/>
        <w:gridCol w:w="2131"/>
      </w:tblGrid>
      <w:tr w:rsidR="004377F8" w14:paraId="7E23A36B" w14:textId="77777777">
        <w:trPr>
          <w:trHeight w:val="884"/>
          <w:jc w:val="center"/>
        </w:trPr>
        <w:tc>
          <w:tcPr>
            <w:tcW w:w="8522" w:type="dxa"/>
            <w:gridSpan w:val="4"/>
          </w:tcPr>
          <w:p w14:paraId="7FDA8B6C" w14:textId="77777777" w:rsidR="004377F8" w:rsidRDefault="00000000">
            <w:pPr>
              <w:rPr>
                <w:rFonts w:ascii="Times New Roman" w:eastAsia="宋体" w:hAnsi="Times New Roman" w:cs="Times New Roman"/>
              </w:rPr>
            </w:pPr>
            <w:r>
              <w:rPr>
                <w:rFonts w:ascii="Times New Roman" w:eastAsia="宋体" w:hAnsi="Times New Roman" w:cs="Times New Roman" w:hint="eastAsia"/>
                <w:b/>
              </w:rPr>
              <w:t>情况说明</w:t>
            </w:r>
            <w:r>
              <w:rPr>
                <w:rFonts w:ascii="Times New Roman" w:eastAsia="宋体" w:hAnsi="Times New Roman" w:cs="Times New Roman" w:hint="eastAsia"/>
              </w:rPr>
              <w:t>：</w:t>
            </w:r>
            <w:r>
              <w:rPr>
                <w:rFonts w:ascii="Times New Roman" w:eastAsia="宋体" w:hAnsi="Times New Roman" w:cs="Times New Roman"/>
              </w:rPr>
              <w:t>智能制造系数控机床用</w:t>
            </w:r>
            <w:r>
              <w:rPr>
                <w:rFonts w:ascii="Times New Roman" w:eastAsia="宋体" w:hAnsi="Times New Roman" w:cs="Times New Roman" w:hint="eastAsia"/>
              </w:rPr>
              <w:t>电脑，由于数控加工</w:t>
            </w:r>
            <w:r>
              <w:rPr>
                <w:rFonts w:ascii="Times New Roman" w:eastAsia="宋体" w:hAnsi="Times New Roman" w:cs="Times New Roman"/>
              </w:rPr>
              <w:t>相关</w:t>
            </w:r>
            <w:r>
              <w:rPr>
                <w:rFonts w:ascii="Times New Roman" w:eastAsia="宋体" w:hAnsi="Times New Roman" w:cs="Times New Roman" w:hint="eastAsia"/>
              </w:rPr>
              <w:t>专业软件升级</w:t>
            </w:r>
            <w:r>
              <w:rPr>
                <w:rFonts w:ascii="Times New Roman" w:eastAsia="宋体" w:hAnsi="Times New Roman" w:cs="Times New Roman"/>
              </w:rPr>
              <w:t>后</w:t>
            </w:r>
            <w:r>
              <w:rPr>
                <w:rFonts w:ascii="Times New Roman" w:eastAsia="宋体" w:hAnsi="Times New Roman" w:cs="Times New Roman" w:hint="eastAsia"/>
              </w:rPr>
              <w:t>，电脑硬件频繁出现故障，需要对</w:t>
            </w:r>
            <w:r>
              <w:rPr>
                <w:rFonts w:ascii="Times New Roman" w:eastAsia="宋体" w:hAnsi="Times New Roman" w:cs="Times New Roman" w:hint="eastAsia"/>
              </w:rPr>
              <w:t>2</w:t>
            </w:r>
            <w:r>
              <w:rPr>
                <w:rFonts w:ascii="Times New Roman" w:eastAsia="宋体" w:hAnsi="Times New Roman" w:cs="Times New Roman"/>
              </w:rPr>
              <w:t>7</w:t>
            </w:r>
            <w:r>
              <w:rPr>
                <w:rFonts w:ascii="Times New Roman" w:eastAsia="宋体" w:hAnsi="Times New Roman" w:cs="Times New Roman" w:hint="eastAsia"/>
              </w:rPr>
              <w:t>台数控实习用电脑进行维修，现对软硬件做出如下方案。</w:t>
            </w:r>
          </w:p>
        </w:tc>
      </w:tr>
      <w:tr w:rsidR="004377F8" w14:paraId="3AC264F6" w14:textId="77777777">
        <w:trPr>
          <w:trHeight w:val="415"/>
          <w:jc w:val="center"/>
        </w:trPr>
        <w:tc>
          <w:tcPr>
            <w:tcW w:w="8522" w:type="dxa"/>
            <w:gridSpan w:val="4"/>
            <w:vAlign w:val="center"/>
          </w:tcPr>
          <w:p w14:paraId="3841435F" w14:textId="77777777" w:rsidR="004377F8" w:rsidRDefault="00000000">
            <w:pPr>
              <w:jc w:val="center"/>
              <w:rPr>
                <w:rFonts w:ascii="Times New Roman" w:eastAsia="宋体" w:hAnsi="Times New Roman" w:cs="Times New Roman"/>
                <w:b/>
              </w:rPr>
            </w:pPr>
            <w:r>
              <w:rPr>
                <w:rFonts w:ascii="Times New Roman" w:eastAsia="宋体" w:hAnsi="Times New Roman" w:cs="Times New Roman" w:hint="eastAsia"/>
                <w:b/>
              </w:rPr>
              <w:t>硬件数量及明细</w:t>
            </w:r>
          </w:p>
        </w:tc>
      </w:tr>
      <w:tr w:rsidR="004377F8" w14:paraId="0C1803CF" w14:textId="77777777">
        <w:trPr>
          <w:trHeight w:val="519"/>
          <w:jc w:val="center"/>
        </w:trPr>
        <w:tc>
          <w:tcPr>
            <w:tcW w:w="2130" w:type="dxa"/>
            <w:vAlign w:val="center"/>
          </w:tcPr>
          <w:p w14:paraId="4EA7F5DA"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名称</w:t>
            </w:r>
          </w:p>
        </w:tc>
        <w:tc>
          <w:tcPr>
            <w:tcW w:w="2130" w:type="dxa"/>
            <w:vAlign w:val="center"/>
          </w:tcPr>
          <w:p w14:paraId="1C8F86C9"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型号、参数等</w:t>
            </w:r>
          </w:p>
        </w:tc>
        <w:tc>
          <w:tcPr>
            <w:tcW w:w="2131" w:type="dxa"/>
            <w:vAlign w:val="center"/>
          </w:tcPr>
          <w:p w14:paraId="493297A6"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数量</w:t>
            </w:r>
          </w:p>
        </w:tc>
        <w:tc>
          <w:tcPr>
            <w:tcW w:w="2131" w:type="dxa"/>
            <w:vAlign w:val="center"/>
          </w:tcPr>
          <w:p w14:paraId="34F091D9"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备注</w:t>
            </w:r>
          </w:p>
        </w:tc>
      </w:tr>
      <w:tr w:rsidR="004377F8" w14:paraId="212A81F0" w14:textId="77777777">
        <w:trPr>
          <w:jc w:val="center"/>
        </w:trPr>
        <w:tc>
          <w:tcPr>
            <w:tcW w:w="2130" w:type="dxa"/>
            <w:vAlign w:val="center"/>
          </w:tcPr>
          <w:p w14:paraId="1056C4BD"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内存条</w:t>
            </w:r>
          </w:p>
        </w:tc>
        <w:tc>
          <w:tcPr>
            <w:tcW w:w="2130" w:type="dxa"/>
            <w:vAlign w:val="center"/>
          </w:tcPr>
          <w:p w14:paraId="6BC64466"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DDR4 16GB</w:t>
            </w:r>
            <w:r>
              <w:rPr>
                <w:rFonts w:ascii="Times New Roman" w:eastAsia="宋体" w:hAnsi="Times New Roman" w:cs="Times New Roman" w:hint="eastAsia"/>
              </w:rPr>
              <w:t>（金士顿</w:t>
            </w:r>
            <w:r>
              <w:rPr>
                <w:rFonts w:ascii="Times New Roman" w:eastAsia="宋体" w:hAnsi="Times New Roman" w:cs="Times New Roman" w:hint="eastAsia"/>
              </w:rPr>
              <w:t xml:space="preserve"> 3200 </w:t>
            </w:r>
            <w:r>
              <w:rPr>
                <w:rFonts w:ascii="Times New Roman" w:eastAsia="宋体" w:hAnsi="Times New Roman" w:cs="Times New Roman" w:hint="eastAsia"/>
              </w:rPr>
              <w:t>）</w:t>
            </w:r>
          </w:p>
        </w:tc>
        <w:tc>
          <w:tcPr>
            <w:tcW w:w="2131" w:type="dxa"/>
            <w:vAlign w:val="center"/>
          </w:tcPr>
          <w:p w14:paraId="303AF0AC"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条</w:t>
            </w:r>
          </w:p>
        </w:tc>
        <w:tc>
          <w:tcPr>
            <w:tcW w:w="2131" w:type="dxa"/>
            <w:vAlign w:val="center"/>
          </w:tcPr>
          <w:p w14:paraId="602FB473"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维修更换</w:t>
            </w:r>
          </w:p>
        </w:tc>
      </w:tr>
      <w:tr w:rsidR="004377F8" w14:paraId="6EB996E4" w14:textId="77777777">
        <w:trPr>
          <w:jc w:val="center"/>
        </w:trPr>
        <w:tc>
          <w:tcPr>
            <w:tcW w:w="2130" w:type="dxa"/>
            <w:vAlign w:val="center"/>
          </w:tcPr>
          <w:p w14:paraId="76C785B6"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固态硬盘</w:t>
            </w:r>
          </w:p>
        </w:tc>
        <w:tc>
          <w:tcPr>
            <w:tcW w:w="2130" w:type="dxa"/>
            <w:vAlign w:val="center"/>
          </w:tcPr>
          <w:p w14:paraId="5F6199CA" w14:textId="77777777" w:rsidR="004377F8" w:rsidRDefault="00000000">
            <w:pPr>
              <w:widowControl/>
              <w:shd w:val="clear" w:color="auto" w:fill="FFFFFF"/>
              <w:ind w:right="-42"/>
              <w:rPr>
                <w:rFonts w:ascii="Tahoma" w:eastAsia="宋体" w:hAnsi="Tahoma" w:cs="Tahoma"/>
                <w:color w:val="999999"/>
                <w:kern w:val="0"/>
                <w:sz w:val="18"/>
                <w:szCs w:val="18"/>
              </w:rPr>
            </w:pPr>
            <w:r>
              <w:rPr>
                <w:rFonts w:ascii="Times New Roman" w:eastAsia="宋体" w:hAnsi="Times New Roman" w:cs="Times New Roman" w:hint="eastAsia"/>
              </w:rPr>
              <w:t>金士顿</w:t>
            </w:r>
            <w:r>
              <w:rPr>
                <w:rFonts w:ascii="Times New Roman" w:eastAsia="宋体" w:hAnsi="Times New Roman" w:cs="Times New Roman" w:hint="eastAsia"/>
              </w:rPr>
              <w:t>NVME M.2</w:t>
            </w:r>
            <w:r>
              <w:rPr>
                <w:rFonts w:ascii="Times New Roman" w:eastAsia="宋体" w:hAnsi="Times New Roman" w:cs="Times New Roman"/>
              </w:rPr>
              <w:t xml:space="preserve"> 512G</w:t>
            </w:r>
            <w:r>
              <w:rPr>
                <w:rFonts w:ascii="Times New Roman" w:eastAsia="宋体" w:hAnsi="Times New Roman" w:cs="Times New Roman" w:hint="eastAsia"/>
              </w:rPr>
              <w:t>固态硬盘</w:t>
            </w:r>
            <w:r>
              <w:rPr>
                <w:rFonts w:ascii="Times New Roman" w:eastAsia="宋体" w:hAnsi="Times New Roman" w:cs="Times New Roman" w:hint="eastAsia"/>
              </w:rPr>
              <w:t xml:space="preserve"> </w:t>
            </w:r>
            <w:r>
              <w:rPr>
                <w:rFonts w:ascii="Times New Roman" w:eastAsia="宋体" w:hAnsi="Times New Roman" w:cs="Times New Roman" w:hint="eastAsia"/>
              </w:rPr>
              <w:t>原机械盘继续使用</w:t>
            </w:r>
          </w:p>
        </w:tc>
        <w:tc>
          <w:tcPr>
            <w:tcW w:w="2131" w:type="dxa"/>
            <w:vAlign w:val="center"/>
          </w:tcPr>
          <w:p w14:paraId="3E55D232"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13</w:t>
            </w:r>
            <w:r>
              <w:rPr>
                <w:rFonts w:ascii="Times New Roman" w:eastAsia="宋体" w:hAnsi="Times New Roman" w:cs="Times New Roman" w:hint="eastAsia"/>
              </w:rPr>
              <w:t>个</w:t>
            </w:r>
          </w:p>
        </w:tc>
        <w:tc>
          <w:tcPr>
            <w:tcW w:w="2131" w:type="dxa"/>
            <w:vAlign w:val="center"/>
          </w:tcPr>
          <w:p w14:paraId="7D6D8CA5"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增加主机上</w:t>
            </w:r>
          </w:p>
        </w:tc>
      </w:tr>
      <w:tr w:rsidR="004377F8" w14:paraId="7980E5E4" w14:textId="77777777">
        <w:trPr>
          <w:trHeight w:val="579"/>
          <w:jc w:val="center"/>
        </w:trPr>
        <w:tc>
          <w:tcPr>
            <w:tcW w:w="2130" w:type="dxa"/>
            <w:vAlign w:val="center"/>
          </w:tcPr>
          <w:p w14:paraId="60DE99E5"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CPU</w:t>
            </w:r>
            <w:r>
              <w:rPr>
                <w:rFonts w:ascii="Times New Roman" w:eastAsia="宋体" w:hAnsi="Times New Roman" w:cs="Times New Roman" w:hint="eastAsia"/>
              </w:rPr>
              <w:t>处理器</w:t>
            </w:r>
          </w:p>
        </w:tc>
        <w:tc>
          <w:tcPr>
            <w:tcW w:w="2130" w:type="dxa"/>
            <w:vAlign w:val="center"/>
          </w:tcPr>
          <w:p w14:paraId="56C2C3C7"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酷睿</w:t>
            </w:r>
            <w:r>
              <w:rPr>
                <w:rFonts w:ascii="Times New Roman" w:eastAsia="宋体" w:hAnsi="Times New Roman" w:cs="Times New Roman" w:hint="eastAsia"/>
              </w:rPr>
              <w:t>I7 12700</w:t>
            </w:r>
            <w:r>
              <w:rPr>
                <w:rFonts w:ascii="Times New Roman" w:eastAsia="宋体" w:hAnsi="Times New Roman" w:cs="Times New Roman" w:hint="eastAsia"/>
              </w:rPr>
              <w:t>盒装</w:t>
            </w:r>
          </w:p>
        </w:tc>
        <w:tc>
          <w:tcPr>
            <w:tcW w:w="2131" w:type="dxa"/>
            <w:vAlign w:val="center"/>
          </w:tcPr>
          <w:p w14:paraId="08DD7E1E"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片</w:t>
            </w:r>
          </w:p>
        </w:tc>
        <w:tc>
          <w:tcPr>
            <w:tcW w:w="2131" w:type="dxa"/>
            <w:vAlign w:val="center"/>
          </w:tcPr>
          <w:p w14:paraId="343BE9B0"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维修更换</w:t>
            </w:r>
          </w:p>
        </w:tc>
      </w:tr>
      <w:tr w:rsidR="004377F8" w14:paraId="50C57B8D" w14:textId="77777777">
        <w:trPr>
          <w:trHeight w:val="559"/>
          <w:jc w:val="center"/>
        </w:trPr>
        <w:tc>
          <w:tcPr>
            <w:tcW w:w="2130" w:type="dxa"/>
            <w:vAlign w:val="center"/>
          </w:tcPr>
          <w:p w14:paraId="61005DAD"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独立显卡</w:t>
            </w:r>
          </w:p>
        </w:tc>
        <w:tc>
          <w:tcPr>
            <w:tcW w:w="2130" w:type="dxa"/>
            <w:vAlign w:val="center"/>
          </w:tcPr>
          <w:p w14:paraId="6616ADCE"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技嘉</w:t>
            </w:r>
            <w:r>
              <w:rPr>
                <w:rFonts w:ascii="Times New Roman" w:eastAsia="宋体" w:hAnsi="Times New Roman" w:cs="Times New Roman" w:hint="eastAsia"/>
              </w:rPr>
              <w:t>1650 4G</w:t>
            </w:r>
            <w:r>
              <w:rPr>
                <w:rFonts w:ascii="Times New Roman" w:eastAsia="宋体" w:hAnsi="Times New Roman" w:cs="Times New Roman" w:hint="eastAsia"/>
              </w:rPr>
              <w:t>独显</w:t>
            </w:r>
          </w:p>
        </w:tc>
        <w:tc>
          <w:tcPr>
            <w:tcW w:w="2131" w:type="dxa"/>
            <w:vAlign w:val="center"/>
          </w:tcPr>
          <w:p w14:paraId="0F16B0A0"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片</w:t>
            </w:r>
          </w:p>
        </w:tc>
        <w:tc>
          <w:tcPr>
            <w:tcW w:w="2131" w:type="dxa"/>
            <w:vAlign w:val="center"/>
          </w:tcPr>
          <w:p w14:paraId="7482961B"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维修更换</w:t>
            </w:r>
          </w:p>
        </w:tc>
      </w:tr>
      <w:tr w:rsidR="004377F8" w14:paraId="3ECD0B73" w14:textId="77777777">
        <w:trPr>
          <w:jc w:val="center"/>
        </w:trPr>
        <w:tc>
          <w:tcPr>
            <w:tcW w:w="2130" w:type="dxa"/>
            <w:vAlign w:val="center"/>
          </w:tcPr>
          <w:p w14:paraId="43219FDF"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主板</w:t>
            </w:r>
          </w:p>
        </w:tc>
        <w:tc>
          <w:tcPr>
            <w:tcW w:w="2130" w:type="dxa"/>
            <w:vAlign w:val="center"/>
          </w:tcPr>
          <w:p w14:paraId="7BFF0B12"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技嘉</w:t>
            </w:r>
            <w:r>
              <w:rPr>
                <w:rFonts w:ascii="Times New Roman" w:eastAsia="宋体" w:hAnsi="Times New Roman" w:cs="Times New Roman" w:hint="eastAsia"/>
              </w:rPr>
              <w:t>B760M AORUS ELITE  DDR4</w:t>
            </w:r>
            <w:r>
              <w:rPr>
                <w:rFonts w:ascii="Times New Roman" w:eastAsia="宋体" w:hAnsi="Times New Roman" w:cs="Times New Roman" w:hint="eastAsia"/>
              </w:rPr>
              <w:t>主板</w:t>
            </w:r>
          </w:p>
        </w:tc>
        <w:tc>
          <w:tcPr>
            <w:tcW w:w="2131" w:type="dxa"/>
            <w:vAlign w:val="center"/>
          </w:tcPr>
          <w:p w14:paraId="0258A24F"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11</w:t>
            </w:r>
            <w:r>
              <w:rPr>
                <w:rFonts w:ascii="Times New Roman" w:eastAsia="宋体" w:hAnsi="Times New Roman" w:cs="Times New Roman" w:hint="eastAsia"/>
              </w:rPr>
              <w:t>片</w:t>
            </w:r>
          </w:p>
        </w:tc>
        <w:tc>
          <w:tcPr>
            <w:tcW w:w="2131" w:type="dxa"/>
            <w:vAlign w:val="center"/>
          </w:tcPr>
          <w:p w14:paraId="1D57726A"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维修更换</w:t>
            </w:r>
          </w:p>
        </w:tc>
      </w:tr>
      <w:tr w:rsidR="004377F8" w14:paraId="3E6A4445" w14:textId="77777777">
        <w:trPr>
          <w:trHeight w:val="491"/>
          <w:jc w:val="center"/>
        </w:trPr>
        <w:tc>
          <w:tcPr>
            <w:tcW w:w="2130" w:type="dxa"/>
            <w:vAlign w:val="center"/>
          </w:tcPr>
          <w:p w14:paraId="5B3D1B6F"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电源</w:t>
            </w:r>
          </w:p>
        </w:tc>
        <w:tc>
          <w:tcPr>
            <w:tcW w:w="2130" w:type="dxa"/>
            <w:vAlign w:val="center"/>
          </w:tcPr>
          <w:p w14:paraId="5252574D" w14:textId="77777777" w:rsidR="004377F8" w:rsidRDefault="00000000">
            <w:pPr>
              <w:rPr>
                <w:rFonts w:ascii="Times New Roman" w:eastAsia="宋体" w:hAnsi="Times New Roman" w:cs="Times New Roman"/>
              </w:rPr>
            </w:pPr>
            <w:r>
              <w:rPr>
                <w:rFonts w:ascii="Times New Roman" w:eastAsia="宋体" w:hAnsi="Times New Roman" w:cs="Times New Roman" w:hint="eastAsia"/>
              </w:rPr>
              <w:t>航嘉</w:t>
            </w:r>
            <w:r>
              <w:rPr>
                <w:rFonts w:ascii="Times New Roman" w:eastAsia="宋体" w:hAnsi="Times New Roman" w:cs="Times New Roman" w:hint="eastAsia"/>
              </w:rPr>
              <w:t>ECO 500W</w:t>
            </w:r>
            <w:r>
              <w:rPr>
                <w:rFonts w:ascii="Times New Roman" w:eastAsia="宋体" w:hAnsi="Times New Roman" w:cs="Times New Roman" w:hint="eastAsia"/>
              </w:rPr>
              <w:t>电源</w:t>
            </w:r>
            <w:r>
              <w:rPr>
                <w:rFonts w:ascii="Times New Roman" w:eastAsia="宋体" w:hAnsi="Times New Roman" w:cs="Times New Roman" w:hint="eastAsia"/>
              </w:rPr>
              <w:t xml:space="preserve"> </w:t>
            </w:r>
          </w:p>
        </w:tc>
        <w:tc>
          <w:tcPr>
            <w:tcW w:w="2131" w:type="dxa"/>
            <w:vAlign w:val="center"/>
          </w:tcPr>
          <w:p w14:paraId="3BEC06FB"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个</w:t>
            </w:r>
          </w:p>
        </w:tc>
        <w:tc>
          <w:tcPr>
            <w:tcW w:w="2131" w:type="dxa"/>
            <w:vAlign w:val="center"/>
          </w:tcPr>
          <w:p w14:paraId="68D49523"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原有功率不够更换</w:t>
            </w:r>
          </w:p>
        </w:tc>
      </w:tr>
      <w:tr w:rsidR="004377F8" w14:paraId="459AE53D" w14:textId="77777777">
        <w:trPr>
          <w:trHeight w:val="395"/>
          <w:jc w:val="center"/>
        </w:trPr>
        <w:tc>
          <w:tcPr>
            <w:tcW w:w="2130" w:type="dxa"/>
            <w:vAlign w:val="center"/>
          </w:tcPr>
          <w:p w14:paraId="0DC9DBC4"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lastRenderedPageBreak/>
              <w:t>电脑系统及软件安装</w:t>
            </w:r>
          </w:p>
        </w:tc>
        <w:tc>
          <w:tcPr>
            <w:tcW w:w="2130" w:type="dxa"/>
            <w:vAlign w:val="center"/>
          </w:tcPr>
          <w:p w14:paraId="1400B9BC"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WINDOWS 10</w:t>
            </w:r>
            <w:r>
              <w:rPr>
                <w:rFonts w:ascii="Times New Roman" w:eastAsia="宋体" w:hAnsi="Times New Roman" w:cs="Times New Roman" w:hint="eastAsia"/>
              </w:rPr>
              <w:t>专业版</w:t>
            </w:r>
          </w:p>
        </w:tc>
        <w:tc>
          <w:tcPr>
            <w:tcW w:w="2131" w:type="dxa"/>
            <w:vAlign w:val="center"/>
          </w:tcPr>
          <w:p w14:paraId="7AE2185E"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27</w:t>
            </w:r>
            <w:r>
              <w:rPr>
                <w:rFonts w:ascii="Times New Roman" w:eastAsia="宋体" w:hAnsi="Times New Roman" w:cs="Times New Roman" w:hint="eastAsia"/>
              </w:rPr>
              <w:t>台</w:t>
            </w:r>
          </w:p>
        </w:tc>
        <w:tc>
          <w:tcPr>
            <w:tcW w:w="2131" w:type="dxa"/>
            <w:vAlign w:val="center"/>
          </w:tcPr>
          <w:p w14:paraId="4ECDBB65"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系统安装至固态硬盘，原系统软件安装</w:t>
            </w:r>
          </w:p>
        </w:tc>
      </w:tr>
      <w:tr w:rsidR="004377F8" w14:paraId="6FA1EDC4" w14:textId="77777777">
        <w:trPr>
          <w:trHeight w:val="493"/>
          <w:jc w:val="center"/>
        </w:trPr>
        <w:tc>
          <w:tcPr>
            <w:tcW w:w="2130" w:type="dxa"/>
            <w:vAlign w:val="center"/>
          </w:tcPr>
          <w:p w14:paraId="62591CF1"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键盘鼠标</w:t>
            </w:r>
          </w:p>
        </w:tc>
        <w:tc>
          <w:tcPr>
            <w:tcW w:w="2130" w:type="dxa"/>
            <w:vAlign w:val="center"/>
          </w:tcPr>
          <w:p w14:paraId="0FB823D8"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无法使用的更换</w:t>
            </w:r>
          </w:p>
        </w:tc>
        <w:tc>
          <w:tcPr>
            <w:tcW w:w="2131" w:type="dxa"/>
            <w:vAlign w:val="center"/>
          </w:tcPr>
          <w:p w14:paraId="2643C43A"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批</w:t>
            </w:r>
          </w:p>
        </w:tc>
        <w:tc>
          <w:tcPr>
            <w:tcW w:w="2131" w:type="dxa"/>
            <w:vAlign w:val="center"/>
          </w:tcPr>
          <w:p w14:paraId="10CBA5BD"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更换新的</w:t>
            </w:r>
          </w:p>
        </w:tc>
      </w:tr>
      <w:tr w:rsidR="004377F8" w14:paraId="2DF3194E" w14:textId="77777777">
        <w:trPr>
          <w:trHeight w:val="543"/>
          <w:jc w:val="center"/>
        </w:trPr>
        <w:tc>
          <w:tcPr>
            <w:tcW w:w="2130" w:type="dxa"/>
            <w:vAlign w:val="center"/>
          </w:tcPr>
          <w:p w14:paraId="322B7B8E"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其他</w:t>
            </w:r>
          </w:p>
        </w:tc>
        <w:tc>
          <w:tcPr>
            <w:tcW w:w="2130" w:type="dxa"/>
            <w:vAlign w:val="center"/>
          </w:tcPr>
          <w:p w14:paraId="492FBA19"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其余辅材</w:t>
            </w:r>
          </w:p>
        </w:tc>
        <w:tc>
          <w:tcPr>
            <w:tcW w:w="2131" w:type="dxa"/>
            <w:vAlign w:val="center"/>
          </w:tcPr>
          <w:p w14:paraId="47031DCF"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批</w:t>
            </w:r>
          </w:p>
        </w:tc>
        <w:tc>
          <w:tcPr>
            <w:tcW w:w="2131" w:type="dxa"/>
            <w:vAlign w:val="center"/>
          </w:tcPr>
          <w:p w14:paraId="5D9B6809" w14:textId="77777777" w:rsidR="004377F8" w:rsidRDefault="00000000">
            <w:pPr>
              <w:jc w:val="center"/>
              <w:rPr>
                <w:rFonts w:ascii="Times New Roman" w:eastAsia="宋体" w:hAnsi="Times New Roman" w:cs="Times New Roman"/>
              </w:rPr>
            </w:pPr>
            <w:r>
              <w:rPr>
                <w:rFonts w:ascii="Times New Roman" w:eastAsia="宋体" w:hAnsi="Times New Roman" w:cs="Times New Roman" w:hint="eastAsia"/>
              </w:rPr>
              <w:t>数据线转接头等</w:t>
            </w:r>
          </w:p>
        </w:tc>
      </w:tr>
    </w:tbl>
    <w:p w14:paraId="621E9EB9" w14:textId="77777777" w:rsidR="004377F8" w:rsidRDefault="00000000">
      <w:pPr>
        <w:adjustRightInd w:val="0"/>
        <w:snapToGri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注：本部分需求中涉及品牌、外形、规格型号、尺寸、重量均为参考，供应商可参考上表提供同等或更高档次产品，但不得低于所列品牌，如提供其他品牌或规格的产品，需提前与需求部门联系人确认。</w:t>
      </w:r>
    </w:p>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95044D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2024年7月31日</w:t>
      </w:r>
    </w:p>
    <w:p w14:paraId="676E9E4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江苏省南通工贸技师学院11号楼</w:t>
      </w:r>
    </w:p>
    <w:p w14:paraId="19BA513A"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1BCACC3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供货方保证所提供全部产品质量符合国家相关规定的标准。如果产品质量不合格，供货方无条件负责更换。</w:t>
      </w:r>
    </w:p>
    <w:p w14:paraId="4E09A2B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2、供应商应为物资提供适宜运输的包装方式，如因包装不良、防护不足、运输不当等造成的任何损失，由此产生的费用和损失由供应商承担。</w:t>
      </w:r>
    </w:p>
    <w:p w14:paraId="62B4118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3、供应商负责无偿将采购物资运送至指定交货地点。运输过程中，采购物资毁损、丢失及发生事故等风险、费用均由供应商承担。</w:t>
      </w:r>
    </w:p>
    <w:p w14:paraId="311274F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采购物资送至指定地点后，由双方共同对采购物资进行检验并办理相关采购物资移交手续。</w:t>
      </w:r>
    </w:p>
    <w:p w14:paraId="2C1CFA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p>
    <w:p w14:paraId="6ECE354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1、供应商送货时，需附上送货清单，经收货人清点验收合格后，在送货清单上签字确认作为双方结算的依据，双方留底。</w:t>
      </w:r>
    </w:p>
    <w:p w14:paraId="77DDF3F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2、在验收过程中，如发现产品的品名、规格、型号与采购方需要的产品不符或是无法使用时，供货方无条件负责更换。</w:t>
      </w:r>
    </w:p>
    <w:p w14:paraId="18E49C8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p>
    <w:p w14:paraId="1554B1A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1、供货方保证无条件退换有质量问题的产品（如包装破损、配</w:t>
      </w:r>
      <w:r>
        <w:rPr>
          <w:rFonts w:ascii="仿宋" w:eastAsia="仿宋" w:hAnsi="仿宋"/>
          <w:sz w:val="28"/>
          <w:szCs w:val="28"/>
        </w:rPr>
        <w:lastRenderedPageBreak/>
        <w:t>件不全、质量不合格无法使用的及与采购方要求的品牌、型号、颜色有差异等），并可无条件退换多余的物品。</w:t>
      </w:r>
    </w:p>
    <w:p w14:paraId="6D2FC3E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2、非质量问题的采购物资退换：在不损坏商品的使用功能、原包装及不影响供货方再次销售的情况下，可以无条件退换货。</w:t>
      </w:r>
    </w:p>
    <w:p w14:paraId="5C7C7C1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3、供货方应提供有效的联系人和联系电话。如有变更，供货方应及时、主动通知采购方。每批订单指定专人负责跟单送货，送货人应佩戴公司标志，遵守相关的规章制度。</w:t>
      </w:r>
    </w:p>
    <w:p w14:paraId="2EB2721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4、提供优质的配送服务，供货方必须按照约定时间送货，不得无故拖延，不得影响采购方物资使用。</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77777777"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77777777"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F6B2D"/>
    <w:rsid w:val="00C07EAD"/>
    <w:rsid w:val="00C22B22"/>
    <w:rsid w:val="00C33719"/>
    <w:rsid w:val="00C4086D"/>
    <w:rsid w:val="00C66817"/>
    <w:rsid w:val="00C75E00"/>
    <w:rsid w:val="00CA1DAE"/>
    <w:rsid w:val="00CB53BD"/>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NSimSun"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NSimSun"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19</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64</cp:revision>
  <dcterms:created xsi:type="dcterms:W3CDTF">2024-01-06T05:55:00Z</dcterms:created>
  <dcterms:modified xsi:type="dcterms:W3CDTF">2024-06-25T08:59:00Z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