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29" w:rsidRPr="00AB4744" w:rsidRDefault="00F43B29" w:rsidP="00F43B29">
      <w:pPr>
        <w:widowControl/>
        <w:spacing w:line="420" w:lineRule="atLeast"/>
        <w:jc w:val="center"/>
        <w:outlineLvl w:val="2"/>
        <w:rPr>
          <w:rFonts w:ascii="微软雅黑" w:eastAsia="微软雅黑" w:hAnsi="微软雅黑" w:cs="宋体"/>
          <w:b/>
          <w:bCs/>
          <w:kern w:val="0"/>
          <w:sz w:val="33"/>
          <w:szCs w:val="33"/>
        </w:rPr>
      </w:pPr>
      <w:r w:rsidRPr="00AB4744">
        <w:rPr>
          <w:rFonts w:ascii="微软雅黑" w:eastAsia="微软雅黑" w:hAnsi="微软雅黑" w:cs="宋体" w:hint="eastAsia"/>
          <w:b/>
          <w:bCs/>
          <w:kern w:val="0"/>
          <w:sz w:val="33"/>
          <w:szCs w:val="33"/>
        </w:rPr>
        <w:t>人力资源社会保障部关于在工程技术领域实现高技能人才与工程技术人才职业发展贯通的意见（试行）</w:t>
      </w:r>
      <w:bookmarkStart w:id="0" w:name="_GoBack"/>
      <w:bookmarkEnd w:id="0"/>
    </w:p>
    <w:p w:rsidR="00F43B29" w:rsidRPr="00F43B29" w:rsidRDefault="00F43B29" w:rsidP="00F43B29">
      <w:pPr>
        <w:autoSpaceDE w:val="0"/>
        <w:spacing w:line="360" w:lineRule="auto"/>
        <w:jc w:val="center"/>
        <w:rPr>
          <w:rFonts w:ascii="宋体" w:eastAsia="宋体" w:hAnsi="宋体" w:cs="宋体"/>
          <w:color w:val="333333"/>
          <w:kern w:val="0"/>
          <w:szCs w:val="21"/>
        </w:rPr>
      </w:pPr>
      <w:proofErr w:type="gramStart"/>
      <w:r w:rsidRPr="00F43B29">
        <w:rPr>
          <w:rFonts w:ascii="宋体" w:eastAsia="宋体" w:hAnsi="宋体" w:cs="宋体"/>
          <w:color w:val="333333"/>
          <w:spacing w:val="6"/>
          <w:kern w:val="0"/>
          <w:sz w:val="24"/>
          <w:szCs w:val="24"/>
        </w:rPr>
        <w:t>人社部</w:t>
      </w:r>
      <w:proofErr w:type="gramEnd"/>
      <w:r w:rsidRPr="00F43B29">
        <w:rPr>
          <w:rFonts w:ascii="宋体" w:eastAsia="宋体" w:hAnsi="宋体" w:cs="宋体"/>
          <w:color w:val="333333"/>
          <w:spacing w:val="6"/>
          <w:kern w:val="0"/>
          <w:sz w:val="24"/>
          <w:szCs w:val="24"/>
        </w:rPr>
        <w:t>发〔2018〕74号</w:t>
      </w:r>
    </w:p>
    <w:p w:rsidR="00F43B29" w:rsidRPr="00F43B29" w:rsidRDefault="00F43B29" w:rsidP="00F43B29">
      <w:pPr>
        <w:autoSpaceDE w:val="0"/>
        <w:spacing w:line="360" w:lineRule="auto"/>
        <w:jc w:val="center"/>
        <w:rPr>
          <w:rFonts w:ascii="宋体" w:eastAsia="宋体" w:hAnsi="宋体" w:cs="宋体"/>
          <w:color w:val="333333"/>
          <w:kern w:val="0"/>
          <w:szCs w:val="21"/>
        </w:rPr>
      </w:pPr>
      <w:r w:rsidRPr="00F43B29">
        <w:rPr>
          <w:rFonts w:ascii="宋体" w:eastAsia="宋体" w:hAnsi="宋体" w:cs="宋体"/>
          <w:color w:val="333333"/>
          <w:kern w:val="0"/>
          <w:sz w:val="24"/>
          <w:szCs w:val="24"/>
        </w:rPr>
        <w:t> </w:t>
      </w:r>
    </w:p>
    <w:p w:rsidR="00F43B29" w:rsidRPr="00F43B29" w:rsidRDefault="00F43B29" w:rsidP="00F43B29">
      <w:pPr>
        <w:autoSpaceDE w:val="0"/>
        <w:snapToGrid w:val="0"/>
        <w:spacing w:line="360" w:lineRule="auto"/>
        <w:rPr>
          <w:rFonts w:ascii="宋体" w:eastAsia="宋体" w:hAnsi="宋体" w:cs="宋体"/>
          <w:color w:val="333333"/>
          <w:kern w:val="0"/>
          <w:szCs w:val="21"/>
        </w:rPr>
      </w:pPr>
      <w:r w:rsidRPr="00F43B29">
        <w:rPr>
          <w:rFonts w:ascii="宋体" w:eastAsia="宋体" w:hAnsi="宋体" w:cs="宋体"/>
          <w:color w:val="333333"/>
          <w:kern w:val="0"/>
          <w:sz w:val="24"/>
          <w:szCs w:val="24"/>
        </w:rPr>
        <w:t>各省、自治区、直辖市及新疆生产建设兵团人力资源社会保障厅（局），国务院各部委、各直属机构人事劳动保障工作机构，中央企业等人事劳动保障工作机构：</w:t>
      </w:r>
    </w:p>
    <w:p w:rsidR="00F43B29" w:rsidRPr="00F43B29" w:rsidRDefault="00F43B29" w:rsidP="00F43B29">
      <w:pPr>
        <w:autoSpaceDE w:val="0"/>
        <w:snapToGrid w:val="0"/>
        <w:spacing w:line="360" w:lineRule="auto"/>
        <w:ind w:firstLineChars="200" w:firstLine="480"/>
        <w:rPr>
          <w:rFonts w:ascii="宋体" w:eastAsia="宋体" w:hAnsi="宋体" w:cs="宋体"/>
          <w:color w:val="333333"/>
          <w:kern w:val="0"/>
          <w:szCs w:val="21"/>
        </w:rPr>
      </w:pPr>
      <w:r w:rsidRPr="00F43B29">
        <w:rPr>
          <w:rFonts w:ascii="宋体" w:eastAsia="宋体" w:hAnsi="宋体" w:cs="宋体"/>
          <w:color w:val="333333"/>
          <w:kern w:val="0"/>
          <w:sz w:val="24"/>
          <w:szCs w:val="24"/>
        </w:rPr>
        <w:t>为拓宽人才发展空间，促进人才合理流动，提高技术技能人才待遇和地位，根据党中央、国务院《新时期产业工人队伍建设改革方案》《关于深化职称制度改革的意见》等有关要求，现就在工程技术领域实现高技能人才与工程技术人才职业发展贯通提出如下意见。</w:t>
      </w:r>
    </w:p>
    <w:p w:rsidR="00F43B29" w:rsidRPr="00F43B29" w:rsidRDefault="00F43B29" w:rsidP="00F43B29">
      <w:pPr>
        <w:autoSpaceDE w:val="0"/>
        <w:snapToGrid w:val="0"/>
        <w:spacing w:line="360" w:lineRule="auto"/>
        <w:ind w:firstLineChars="200" w:firstLine="482"/>
        <w:rPr>
          <w:rFonts w:ascii="宋体" w:eastAsia="宋体" w:hAnsi="宋体" w:cs="宋体"/>
          <w:color w:val="333333"/>
          <w:kern w:val="0"/>
          <w:szCs w:val="21"/>
        </w:rPr>
      </w:pPr>
      <w:r w:rsidRPr="00F43B29">
        <w:rPr>
          <w:rFonts w:ascii="宋体" w:eastAsia="宋体" w:hAnsi="宋体" w:cs="宋体"/>
          <w:b/>
          <w:bCs/>
          <w:color w:val="333333"/>
          <w:kern w:val="0"/>
          <w:sz w:val="24"/>
          <w:szCs w:val="24"/>
        </w:rPr>
        <w:t>一、总体要求</w:t>
      </w:r>
    </w:p>
    <w:p w:rsidR="00F43B29" w:rsidRPr="00F43B29" w:rsidRDefault="00F43B29" w:rsidP="00F43B29">
      <w:pPr>
        <w:autoSpaceDE w:val="0"/>
        <w:snapToGrid w:val="0"/>
        <w:spacing w:line="360" w:lineRule="auto"/>
        <w:ind w:firstLineChars="200" w:firstLine="480"/>
        <w:rPr>
          <w:rFonts w:ascii="宋体" w:eastAsia="宋体" w:hAnsi="宋体" w:cs="宋体"/>
          <w:color w:val="333333"/>
          <w:kern w:val="0"/>
          <w:szCs w:val="21"/>
        </w:rPr>
      </w:pPr>
      <w:r w:rsidRPr="00F43B29">
        <w:rPr>
          <w:rFonts w:ascii="宋体" w:eastAsia="宋体" w:hAnsi="宋体" w:cs="宋体"/>
          <w:color w:val="333333"/>
          <w:kern w:val="0"/>
          <w:sz w:val="24"/>
          <w:szCs w:val="24"/>
        </w:rPr>
        <w:t>（一）指导思想。</w:t>
      </w:r>
    </w:p>
    <w:p w:rsidR="00F43B29" w:rsidRPr="00F43B29" w:rsidRDefault="00F43B29" w:rsidP="00F43B29">
      <w:pPr>
        <w:autoSpaceDE w:val="0"/>
        <w:snapToGrid w:val="0"/>
        <w:spacing w:line="360" w:lineRule="auto"/>
        <w:ind w:firstLineChars="200" w:firstLine="480"/>
        <w:rPr>
          <w:rFonts w:ascii="宋体" w:eastAsia="宋体" w:hAnsi="宋体" w:cs="宋体"/>
          <w:color w:val="333333"/>
          <w:kern w:val="0"/>
          <w:szCs w:val="21"/>
        </w:rPr>
      </w:pPr>
      <w:r w:rsidRPr="00F43B29">
        <w:rPr>
          <w:rFonts w:ascii="宋体" w:eastAsia="宋体" w:hAnsi="宋体" w:cs="宋体"/>
          <w:color w:val="333333"/>
          <w:kern w:val="0"/>
          <w:sz w:val="24"/>
          <w:szCs w:val="24"/>
        </w:rPr>
        <w:t>全面贯彻党的十九大和十九届二中、三中全会精神，坚持以习近平新时代中国特色社会主义思想为指导，牢固树立和贯彻落实新发展理念，深入实施人才强国战略，坚决破除束缚人才发展的思想观念和体制机制障碍，最大限度激发各类人才创新创造创业活力，努力形成人人渴望成才、人人努力成才、人人皆可成才、人人尽展其才的良好局面，加快建设知识型、技能型、创新型劳动者大军，为实现“两个一百年”奋斗目标和中华民族伟大复兴中国梦提供坚实人才保障。</w:t>
      </w:r>
    </w:p>
    <w:p w:rsidR="00F43B29" w:rsidRPr="00F43B29" w:rsidRDefault="00F43B29" w:rsidP="00F43B29">
      <w:pPr>
        <w:autoSpaceDE w:val="0"/>
        <w:snapToGrid w:val="0"/>
        <w:spacing w:line="360" w:lineRule="auto"/>
        <w:ind w:firstLineChars="200" w:firstLine="480"/>
        <w:rPr>
          <w:rFonts w:ascii="宋体" w:eastAsia="宋体" w:hAnsi="宋体" w:cs="宋体"/>
          <w:color w:val="333333"/>
          <w:kern w:val="0"/>
          <w:szCs w:val="21"/>
        </w:rPr>
      </w:pPr>
      <w:r w:rsidRPr="00F43B29">
        <w:rPr>
          <w:rFonts w:ascii="宋体" w:eastAsia="宋体" w:hAnsi="宋体" w:cs="宋体"/>
          <w:color w:val="333333"/>
          <w:kern w:val="0"/>
          <w:sz w:val="24"/>
          <w:szCs w:val="24"/>
        </w:rPr>
        <w:t>（二）基本原则。</w:t>
      </w:r>
    </w:p>
    <w:p w:rsidR="00F43B29" w:rsidRPr="00F43B29" w:rsidRDefault="00F43B29" w:rsidP="00F43B29">
      <w:pPr>
        <w:autoSpaceDE w:val="0"/>
        <w:snapToGrid w:val="0"/>
        <w:spacing w:line="360" w:lineRule="auto"/>
        <w:ind w:firstLineChars="200" w:firstLine="480"/>
        <w:rPr>
          <w:rFonts w:ascii="宋体" w:eastAsia="宋体" w:hAnsi="宋体" w:cs="宋体"/>
          <w:color w:val="333333"/>
          <w:kern w:val="0"/>
          <w:szCs w:val="21"/>
        </w:rPr>
      </w:pPr>
      <w:r w:rsidRPr="00F43B29">
        <w:rPr>
          <w:rFonts w:ascii="宋体" w:eastAsia="宋体" w:hAnsi="宋体" w:cs="宋体"/>
          <w:color w:val="333333"/>
          <w:kern w:val="0"/>
          <w:sz w:val="24"/>
          <w:szCs w:val="24"/>
        </w:rPr>
        <w:t>1.坚持遵循规律。适应人才融合发展趋势，遵循社会主义市场经济规律和人才成长规律，建立高技能人才与专业技术人才职业发展通道，促进两类人才深度融合。</w:t>
      </w:r>
    </w:p>
    <w:p w:rsidR="00F43B29" w:rsidRPr="00F43B29" w:rsidRDefault="00F43B29" w:rsidP="00F43B29">
      <w:pPr>
        <w:autoSpaceDE w:val="0"/>
        <w:snapToGrid w:val="0"/>
        <w:spacing w:line="360" w:lineRule="auto"/>
        <w:ind w:firstLineChars="200" w:firstLine="480"/>
        <w:rPr>
          <w:rFonts w:ascii="宋体" w:eastAsia="宋体" w:hAnsi="宋体" w:cs="宋体"/>
          <w:color w:val="333333"/>
          <w:kern w:val="0"/>
          <w:szCs w:val="21"/>
        </w:rPr>
      </w:pPr>
      <w:r w:rsidRPr="00F43B29">
        <w:rPr>
          <w:rFonts w:ascii="宋体" w:eastAsia="宋体" w:hAnsi="宋体" w:cs="宋体"/>
          <w:color w:val="333333"/>
          <w:kern w:val="0"/>
          <w:sz w:val="24"/>
          <w:szCs w:val="24"/>
        </w:rPr>
        <w:t>2.坚持问题导向。针对束缚人才发展的思想观念和体制机制问题，打破职业技能评价与专业技术职称评审界限，改变人才发展独木桥、天花板现象，搭建人才成长立交桥。</w:t>
      </w:r>
    </w:p>
    <w:p w:rsidR="00F43B29" w:rsidRPr="00F43B29" w:rsidRDefault="00F43B29" w:rsidP="00F43B29">
      <w:pPr>
        <w:autoSpaceDE w:val="0"/>
        <w:snapToGrid w:val="0"/>
        <w:spacing w:line="360" w:lineRule="auto"/>
        <w:ind w:firstLineChars="200" w:firstLine="480"/>
        <w:rPr>
          <w:rFonts w:ascii="宋体" w:eastAsia="宋体" w:hAnsi="宋体" w:cs="宋体"/>
          <w:color w:val="333333"/>
          <w:kern w:val="0"/>
          <w:szCs w:val="21"/>
        </w:rPr>
      </w:pPr>
      <w:r w:rsidRPr="00F43B29">
        <w:rPr>
          <w:rFonts w:ascii="宋体" w:eastAsia="宋体" w:hAnsi="宋体" w:cs="宋体"/>
          <w:color w:val="333333"/>
          <w:kern w:val="0"/>
          <w:sz w:val="24"/>
          <w:szCs w:val="24"/>
        </w:rPr>
        <w:t>3.坚持科学评价。破除身份、学历、资历等障碍，突出品德、能力、业绩评价导向，建立体现两类人才特点的评价机制，让各类人才价值得到充分尊重和体现。两类人才贯通条件大体平衡，适当向高技能人才倾斜。</w:t>
      </w:r>
    </w:p>
    <w:p w:rsidR="00F43B29" w:rsidRPr="00F43B29" w:rsidRDefault="00F43B29" w:rsidP="00F43B29">
      <w:pPr>
        <w:autoSpaceDE w:val="0"/>
        <w:snapToGrid w:val="0"/>
        <w:spacing w:line="360" w:lineRule="auto"/>
        <w:ind w:firstLineChars="200" w:firstLine="480"/>
        <w:rPr>
          <w:rFonts w:ascii="宋体" w:eastAsia="宋体" w:hAnsi="宋体" w:cs="宋体"/>
          <w:color w:val="333333"/>
          <w:kern w:val="0"/>
          <w:szCs w:val="21"/>
        </w:rPr>
      </w:pPr>
      <w:r w:rsidRPr="00F43B29">
        <w:rPr>
          <w:rFonts w:ascii="宋体" w:eastAsia="宋体" w:hAnsi="宋体" w:cs="宋体"/>
          <w:color w:val="333333"/>
          <w:kern w:val="0"/>
          <w:sz w:val="24"/>
          <w:szCs w:val="24"/>
        </w:rPr>
        <w:t>4.坚持以用为本。围绕用好用活两类人才，发挥用人主体作用，建立评价与</w:t>
      </w:r>
      <w:r w:rsidRPr="00F43B29">
        <w:rPr>
          <w:rFonts w:ascii="宋体" w:eastAsia="宋体" w:hAnsi="宋体" w:cs="宋体"/>
          <w:color w:val="333333"/>
          <w:kern w:val="0"/>
          <w:sz w:val="24"/>
          <w:szCs w:val="24"/>
        </w:rPr>
        <w:lastRenderedPageBreak/>
        <w:t>培养使用激励相联系的机制，营造有利于人才成长和发挥作用的制度环境。</w:t>
      </w:r>
    </w:p>
    <w:p w:rsidR="00F43B29" w:rsidRPr="00F43B29" w:rsidRDefault="00F43B29" w:rsidP="00F43B29">
      <w:pPr>
        <w:autoSpaceDE w:val="0"/>
        <w:snapToGrid w:val="0"/>
        <w:spacing w:line="360" w:lineRule="auto"/>
        <w:ind w:firstLineChars="200" w:firstLine="482"/>
        <w:jc w:val="left"/>
        <w:rPr>
          <w:rFonts w:ascii="宋体" w:eastAsia="宋体" w:hAnsi="宋体" w:cs="宋体"/>
          <w:color w:val="333333"/>
          <w:kern w:val="0"/>
          <w:szCs w:val="21"/>
        </w:rPr>
      </w:pPr>
      <w:r w:rsidRPr="00F43B29">
        <w:rPr>
          <w:rFonts w:ascii="宋体" w:eastAsia="宋体" w:hAnsi="宋体" w:cs="宋体"/>
          <w:b/>
          <w:bCs/>
          <w:color w:val="333333"/>
          <w:kern w:val="0"/>
          <w:sz w:val="24"/>
          <w:szCs w:val="24"/>
        </w:rPr>
        <w:t>二、主要内容</w:t>
      </w:r>
    </w:p>
    <w:p w:rsidR="00F43B29" w:rsidRPr="00F43B29" w:rsidRDefault="00F43B29" w:rsidP="00F43B29">
      <w:pPr>
        <w:autoSpaceDE w:val="0"/>
        <w:snapToGrid w:val="0"/>
        <w:spacing w:line="360" w:lineRule="auto"/>
        <w:ind w:firstLineChars="200" w:firstLine="480"/>
        <w:jc w:val="left"/>
        <w:rPr>
          <w:rFonts w:ascii="宋体" w:eastAsia="宋体" w:hAnsi="宋体" w:cs="宋体"/>
          <w:color w:val="333333"/>
          <w:kern w:val="0"/>
          <w:szCs w:val="21"/>
        </w:rPr>
      </w:pPr>
      <w:r w:rsidRPr="00F43B29">
        <w:rPr>
          <w:rFonts w:ascii="宋体" w:eastAsia="宋体" w:hAnsi="宋体" w:cs="宋体"/>
          <w:color w:val="333333"/>
          <w:kern w:val="0"/>
          <w:sz w:val="24"/>
          <w:szCs w:val="24"/>
        </w:rPr>
        <w:t>（一）支持工程技术领域高技能人才参评工程系列专业技术职称。</w:t>
      </w:r>
    </w:p>
    <w:p w:rsidR="00F43B29" w:rsidRPr="00F43B29" w:rsidRDefault="00F43B29" w:rsidP="00F43B29">
      <w:pPr>
        <w:autoSpaceDE w:val="0"/>
        <w:snapToGrid w:val="0"/>
        <w:spacing w:line="360" w:lineRule="auto"/>
        <w:ind w:firstLineChars="200" w:firstLine="480"/>
        <w:jc w:val="left"/>
        <w:rPr>
          <w:rFonts w:ascii="宋体" w:eastAsia="宋体" w:hAnsi="宋体" w:cs="宋体"/>
          <w:color w:val="333333"/>
          <w:kern w:val="0"/>
          <w:szCs w:val="21"/>
        </w:rPr>
      </w:pPr>
      <w:r w:rsidRPr="00F43B29">
        <w:rPr>
          <w:rFonts w:ascii="宋体" w:eastAsia="宋体" w:hAnsi="宋体" w:cs="宋体"/>
          <w:color w:val="333333"/>
          <w:kern w:val="0"/>
          <w:sz w:val="24"/>
          <w:szCs w:val="24"/>
        </w:rPr>
        <w:t>1.明确参评范围。参加工程系列专业技术职称评审的高技能人才，应为在工程技术领域生产一线岗位，从事技术技能工作，具有高超技艺和精湛技能，能够进行创造性劳动，并</w:t>
      </w:r>
      <w:proofErr w:type="gramStart"/>
      <w:r w:rsidRPr="00F43B29">
        <w:rPr>
          <w:rFonts w:ascii="宋体" w:eastAsia="宋体" w:hAnsi="宋体" w:cs="宋体"/>
          <w:color w:val="333333"/>
          <w:kern w:val="0"/>
          <w:sz w:val="24"/>
          <w:szCs w:val="24"/>
        </w:rPr>
        <w:t>作出</w:t>
      </w:r>
      <w:proofErr w:type="gramEnd"/>
      <w:r w:rsidRPr="00F43B29">
        <w:rPr>
          <w:rFonts w:ascii="宋体" w:eastAsia="宋体" w:hAnsi="宋体" w:cs="宋体"/>
          <w:color w:val="333333"/>
          <w:kern w:val="0"/>
          <w:sz w:val="24"/>
          <w:szCs w:val="24"/>
        </w:rPr>
        <w:t>贡献的技能劳动者。</w:t>
      </w:r>
    </w:p>
    <w:p w:rsidR="00F43B29" w:rsidRPr="00F43B29" w:rsidRDefault="00F43B29" w:rsidP="00F43B29">
      <w:pPr>
        <w:autoSpaceDE w:val="0"/>
        <w:snapToGrid w:val="0"/>
        <w:spacing w:line="360" w:lineRule="auto"/>
        <w:ind w:firstLineChars="200" w:firstLine="480"/>
        <w:jc w:val="left"/>
        <w:rPr>
          <w:rFonts w:ascii="宋体" w:eastAsia="宋体" w:hAnsi="宋体" w:cs="宋体"/>
          <w:color w:val="333333"/>
          <w:kern w:val="0"/>
          <w:szCs w:val="21"/>
        </w:rPr>
      </w:pPr>
      <w:r w:rsidRPr="00F43B29">
        <w:rPr>
          <w:rFonts w:ascii="宋体" w:eastAsia="宋体" w:hAnsi="宋体" w:cs="宋体"/>
          <w:color w:val="333333"/>
          <w:kern w:val="0"/>
          <w:sz w:val="24"/>
          <w:szCs w:val="24"/>
        </w:rPr>
        <w:t>2.严格评审条件。高技能人才参加工程系列专业技术职称评审应具备以下基本条件：符合国家规定的工程技术人才职称评价基本标准条件；遵守单位规章制度和生产操作规程；具有高级工以上职业资格或职业技能等级，在现工作岗位上近3年年度考核合格。</w:t>
      </w:r>
    </w:p>
    <w:p w:rsidR="00F43B29" w:rsidRPr="00AB4744" w:rsidRDefault="00F43B29" w:rsidP="00AB4744">
      <w:pPr>
        <w:autoSpaceDE w:val="0"/>
        <w:snapToGrid w:val="0"/>
        <w:spacing w:line="360" w:lineRule="auto"/>
        <w:ind w:firstLineChars="200" w:firstLine="482"/>
        <w:jc w:val="left"/>
        <w:rPr>
          <w:rFonts w:ascii="宋体" w:eastAsia="宋体" w:hAnsi="宋体" w:cs="宋体"/>
          <w:b/>
          <w:kern w:val="0"/>
          <w:szCs w:val="21"/>
          <w:u w:val="single"/>
        </w:rPr>
      </w:pPr>
      <w:r w:rsidRPr="00AB4744">
        <w:rPr>
          <w:rFonts w:ascii="宋体" w:eastAsia="宋体" w:hAnsi="宋体" w:cs="宋体"/>
          <w:b/>
          <w:kern w:val="0"/>
          <w:sz w:val="24"/>
          <w:szCs w:val="24"/>
          <w:u w:val="single"/>
        </w:rPr>
        <w:t>技工院校中级工班、高级工班、预备技师（技师）班毕业，可分别按相当于中专、大专、本科学历申报评审相应专业职称。</w:t>
      </w:r>
    </w:p>
    <w:p w:rsidR="00F43B29" w:rsidRPr="00AB4744" w:rsidRDefault="00F43B29" w:rsidP="00AB4744">
      <w:pPr>
        <w:autoSpaceDE w:val="0"/>
        <w:snapToGrid w:val="0"/>
        <w:spacing w:line="360" w:lineRule="auto"/>
        <w:ind w:firstLineChars="200" w:firstLine="482"/>
        <w:jc w:val="left"/>
        <w:rPr>
          <w:rFonts w:ascii="宋体" w:eastAsia="宋体" w:hAnsi="宋体" w:cs="宋体"/>
          <w:b/>
          <w:kern w:val="0"/>
          <w:szCs w:val="21"/>
        </w:rPr>
      </w:pPr>
      <w:r w:rsidRPr="00AB4744">
        <w:rPr>
          <w:rFonts w:ascii="宋体" w:eastAsia="宋体" w:hAnsi="宋体" w:cs="宋体"/>
          <w:b/>
          <w:kern w:val="0"/>
          <w:sz w:val="24"/>
          <w:szCs w:val="24"/>
          <w:u w:val="single"/>
        </w:rPr>
        <w:t>获得高级工职业资格或职业技能等级后从事技术技能工作满2年，可申报评审相应专业助理工程师；获得技师职业资格或职业技能等级后从事技术技能工作满3年，可申报评审相应专业工程师；获得高级技师职业资格或职业技能等级后从事技术技能工作满4年，可申报评审相应专业高级工程师。</w:t>
      </w:r>
    </w:p>
    <w:p w:rsidR="00F43B29" w:rsidRPr="00F43B29" w:rsidRDefault="00F43B29" w:rsidP="00F43B29">
      <w:pPr>
        <w:autoSpaceDE w:val="0"/>
        <w:snapToGrid w:val="0"/>
        <w:spacing w:line="360" w:lineRule="auto"/>
        <w:ind w:firstLineChars="200" w:firstLine="480"/>
        <w:rPr>
          <w:rFonts w:ascii="宋体" w:eastAsia="宋体" w:hAnsi="宋体" w:cs="宋体"/>
          <w:color w:val="333333"/>
          <w:kern w:val="0"/>
          <w:szCs w:val="21"/>
        </w:rPr>
      </w:pPr>
      <w:r w:rsidRPr="00F43B29">
        <w:rPr>
          <w:rFonts w:ascii="宋体" w:eastAsia="宋体" w:hAnsi="宋体" w:cs="宋体"/>
          <w:color w:val="333333"/>
          <w:kern w:val="0"/>
          <w:sz w:val="24"/>
          <w:szCs w:val="24"/>
        </w:rPr>
        <w:t>3.突出高技能人才工作特点。高技能人才职称评审应充分体现其职业特点，坚持把职业道德放在评审的首位，引导技能人才爱岗敬业，弘扬工匠精神。要以职业能力和工作业绩评定为重点，注重评价高技能人才执行操作规程、解决生产难题、完成工作任务、参与技术改造革新、传技带徒等方面的能力和贡献，把技能技艺、工作实绩、生产效率、产品质量、技术和专利发明、科研成果、技能竞赛成绩等作为评价条件。改变唯身份、唯论文等倾向，不得将身份、论文等作为高技能人才职称评审的限制性条件。要通过职称评审，评价选拔一批技能精湛、专业知识扎实的工程技术人才，鼓励和支持他们在更宽广的领域钻研业务，解决工程技术难题，促进工程理论知识与技术技能的深度融合。</w:t>
      </w:r>
    </w:p>
    <w:p w:rsidR="00F43B29" w:rsidRPr="00F43B29" w:rsidRDefault="00F43B29" w:rsidP="00F43B29">
      <w:pPr>
        <w:autoSpaceDE w:val="0"/>
        <w:snapToGrid w:val="0"/>
        <w:spacing w:line="360" w:lineRule="auto"/>
        <w:ind w:firstLineChars="200" w:firstLine="480"/>
        <w:rPr>
          <w:rFonts w:ascii="宋体" w:eastAsia="宋体" w:hAnsi="宋体" w:cs="宋体"/>
          <w:color w:val="333333"/>
          <w:kern w:val="0"/>
          <w:szCs w:val="21"/>
        </w:rPr>
      </w:pPr>
      <w:r w:rsidRPr="00F43B29">
        <w:rPr>
          <w:rFonts w:ascii="宋体" w:eastAsia="宋体" w:hAnsi="宋体" w:cs="宋体"/>
          <w:color w:val="333333"/>
          <w:kern w:val="0"/>
          <w:sz w:val="24"/>
          <w:szCs w:val="24"/>
        </w:rPr>
        <w:t>4.注重向高技能领军人才倾斜。对长期坚守生产一线且在工程技术岗位从事技术技能工作、具有高超技艺技能和一流业绩水平、为经济发展和国家重大战略实施</w:t>
      </w:r>
      <w:proofErr w:type="gramStart"/>
      <w:r w:rsidRPr="00F43B29">
        <w:rPr>
          <w:rFonts w:ascii="宋体" w:eastAsia="宋体" w:hAnsi="宋体" w:cs="宋体"/>
          <w:color w:val="333333"/>
          <w:kern w:val="0"/>
          <w:sz w:val="24"/>
          <w:szCs w:val="24"/>
        </w:rPr>
        <w:t>作出</w:t>
      </w:r>
      <w:proofErr w:type="gramEnd"/>
      <w:r w:rsidRPr="00F43B29">
        <w:rPr>
          <w:rFonts w:ascii="宋体" w:eastAsia="宋体" w:hAnsi="宋体" w:cs="宋体"/>
          <w:color w:val="333333"/>
          <w:kern w:val="0"/>
          <w:sz w:val="24"/>
          <w:szCs w:val="24"/>
        </w:rPr>
        <w:t>突出贡献的高技能人才，包括获得中华技能大奖、全国技术能手等荣誉，担任国家级技能大师工作室负责人，享受省级以上政府特殊津贴，或各省（自治区、直辖市）人民政府认定的高技能领军人才，可破格申报专业技术职称评审。</w:t>
      </w:r>
    </w:p>
    <w:p w:rsidR="00F43B29" w:rsidRPr="00F43B29" w:rsidRDefault="00F43B29" w:rsidP="00F43B29">
      <w:pPr>
        <w:autoSpaceDE w:val="0"/>
        <w:snapToGrid w:val="0"/>
        <w:spacing w:line="360" w:lineRule="auto"/>
        <w:ind w:firstLineChars="200" w:firstLine="480"/>
        <w:rPr>
          <w:rFonts w:ascii="宋体" w:eastAsia="宋体" w:hAnsi="宋体" w:cs="宋体"/>
          <w:color w:val="333333"/>
          <w:kern w:val="0"/>
          <w:szCs w:val="21"/>
        </w:rPr>
      </w:pPr>
      <w:r w:rsidRPr="00F43B29">
        <w:rPr>
          <w:rFonts w:ascii="宋体" w:eastAsia="宋体" w:hAnsi="宋体" w:cs="宋体"/>
          <w:color w:val="333333"/>
          <w:kern w:val="0"/>
          <w:sz w:val="24"/>
          <w:szCs w:val="24"/>
        </w:rPr>
        <w:lastRenderedPageBreak/>
        <w:t>（二）鼓励专业技术人才参加职业技能评价。</w:t>
      </w:r>
    </w:p>
    <w:p w:rsidR="00F43B29" w:rsidRPr="00F43B29" w:rsidRDefault="00F43B29" w:rsidP="00F43B29">
      <w:pPr>
        <w:autoSpaceDE w:val="0"/>
        <w:snapToGrid w:val="0"/>
        <w:spacing w:line="360" w:lineRule="auto"/>
        <w:ind w:firstLineChars="200" w:firstLine="480"/>
        <w:rPr>
          <w:rFonts w:ascii="宋体" w:eastAsia="宋体" w:hAnsi="宋体" w:cs="宋体"/>
          <w:color w:val="333333"/>
          <w:kern w:val="0"/>
          <w:szCs w:val="21"/>
        </w:rPr>
      </w:pPr>
      <w:r w:rsidRPr="00F43B29">
        <w:rPr>
          <w:rFonts w:ascii="宋体" w:eastAsia="宋体" w:hAnsi="宋体" w:cs="宋体"/>
          <w:color w:val="333333"/>
          <w:kern w:val="0"/>
          <w:sz w:val="24"/>
          <w:szCs w:val="24"/>
        </w:rPr>
        <w:t>1.首次参加职业技能评价（</w:t>
      </w:r>
      <w:proofErr w:type="gramStart"/>
      <w:r w:rsidRPr="00F43B29">
        <w:rPr>
          <w:rFonts w:ascii="宋体" w:eastAsia="宋体" w:hAnsi="宋体" w:cs="宋体"/>
          <w:color w:val="333333"/>
          <w:kern w:val="0"/>
          <w:sz w:val="24"/>
          <w:szCs w:val="24"/>
        </w:rPr>
        <w:t>含职业</w:t>
      </w:r>
      <w:proofErr w:type="gramEnd"/>
      <w:r w:rsidRPr="00F43B29">
        <w:rPr>
          <w:rFonts w:ascii="宋体" w:eastAsia="宋体" w:hAnsi="宋体" w:cs="宋体"/>
          <w:color w:val="333333"/>
          <w:kern w:val="0"/>
          <w:sz w:val="24"/>
          <w:szCs w:val="24"/>
        </w:rPr>
        <w:t>技能鉴定和职业技能等级认定，下同）。专业技术人才在技能岗位工作，可按有关规定申请参加与现岗位相对应职业（工种）的职业技能评价。取得助理工程师、工程师、高级工程师职称，其累计工作年限达到申报条件的，可分别申请参加与现岗位相对应职业（工种）的高级工、技师、高级技师职业技能评价，合格后取得相应职业资格证书或职业技能等级证书。</w:t>
      </w:r>
    </w:p>
    <w:p w:rsidR="00F43B29" w:rsidRPr="00F43B29" w:rsidRDefault="00F43B29" w:rsidP="00F43B29">
      <w:pPr>
        <w:autoSpaceDE w:val="0"/>
        <w:snapToGrid w:val="0"/>
        <w:spacing w:line="360" w:lineRule="auto"/>
        <w:ind w:firstLineChars="200" w:firstLine="480"/>
        <w:rPr>
          <w:rFonts w:ascii="宋体" w:eastAsia="宋体" w:hAnsi="宋体" w:cs="宋体"/>
          <w:color w:val="333333"/>
          <w:kern w:val="0"/>
          <w:szCs w:val="21"/>
        </w:rPr>
      </w:pPr>
      <w:r w:rsidRPr="00F43B29">
        <w:rPr>
          <w:rFonts w:ascii="宋体" w:eastAsia="宋体" w:hAnsi="宋体" w:cs="宋体"/>
          <w:color w:val="333333"/>
          <w:kern w:val="0"/>
          <w:sz w:val="24"/>
          <w:szCs w:val="24"/>
        </w:rPr>
        <w:t>2.参加晋级评价。专业技术人才在取得现从事职业（工种）职业资格或职业技能等级1年后，可按累计工作年限申报现从事职业（工种）晋级评价。助理工程师在取得现从事职业（工种）高级工1年后，其累计工作年限达到技师申报条件的，可申报技师考评；工程师在取得现从事职业（工种）技师1年后，其累计工作年限达到高级技师申报条件的，可申报高级技师考评。</w:t>
      </w:r>
    </w:p>
    <w:p w:rsidR="00F43B29" w:rsidRPr="00F43B29" w:rsidRDefault="00F43B29" w:rsidP="00F43B29">
      <w:pPr>
        <w:autoSpaceDE w:val="0"/>
        <w:snapToGrid w:val="0"/>
        <w:spacing w:line="360" w:lineRule="auto"/>
        <w:ind w:firstLineChars="200" w:firstLine="480"/>
        <w:jc w:val="left"/>
        <w:rPr>
          <w:rFonts w:ascii="宋体" w:eastAsia="宋体" w:hAnsi="宋体" w:cs="宋体"/>
          <w:color w:val="333333"/>
          <w:kern w:val="0"/>
          <w:szCs w:val="21"/>
        </w:rPr>
      </w:pPr>
      <w:r w:rsidRPr="00F43B29">
        <w:rPr>
          <w:rFonts w:ascii="宋体" w:eastAsia="宋体" w:hAnsi="宋体" w:cs="宋体"/>
          <w:color w:val="333333"/>
          <w:kern w:val="0"/>
          <w:sz w:val="24"/>
          <w:szCs w:val="24"/>
        </w:rPr>
        <w:t>3.注重技能考核。对参加职业技能评价的专业技术人才，应注重技能考核。对具有所申报职业（专业）或相关职业（专业）毕业证书的，可免于理论知识考试。</w:t>
      </w:r>
    </w:p>
    <w:p w:rsidR="00F43B29" w:rsidRPr="00F43B29" w:rsidRDefault="00F43B29" w:rsidP="00F43B29">
      <w:pPr>
        <w:autoSpaceDE w:val="0"/>
        <w:snapToGrid w:val="0"/>
        <w:spacing w:line="360" w:lineRule="auto"/>
        <w:ind w:firstLineChars="200" w:firstLine="480"/>
        <w:jc w:val="left"/>
        <w:rPr>
          <w:rFonts w:ascii="宋体" w:eastAsia="宋体" w:hAnsi="宋体" w:cs="宋体"/>
          <w:color w:val="333333"/>
          <w:kern w:val="0"/>
          <w:szCs w:val="21"/>
        </w:rPr>
      </w:pPr>
      <w:r w:rsidRPr="00F43B29">
        <w:rPr>
          <w:rFonts w:ascii="宋体" w:eastAsia="宋体" w:hAnsi="宋体" w:cs="宋体"/>
          <w:color w:val="333333"/>
          <w:kern w:val="0"/>
          <w:sz w:val="24"/>
          <w:szCs w:val="24"/>
        </w:rPr>
        <w:t>（三）建立评价与培养使用激励相联系的工作机制。</w:t>
      </w:r>
    </w:p>
    <w:p w:rsidR="00F43B29" w:rsidRPr="00F43B29" w:rsidRDefault="00F43B29" w:rsidP="00F43B29">
      <w:pPr>
        <w:autoSpaceDE w:val="0"/>
        <w:snapToGrid w:val="0"/>
        <w:spacing w:line="360" w:lineRule="auto"/>
        <w:ind w:firstLineChars="200" w:firstLine="480"/>
        <w:jc w:val="left"/>
        <w:rPr>
          <w:rFonts w:ascii="宋体" w:eastAsia="宋体" w:hAnsi="宋体" w:cs="宋体"/>
          <w:color w:val="333333"/>
          <w:kern w:val="0"/>
          <w:szCs w:val="21"/>
        </w:rPr>
      </w:pPr>
      <w:r w:rsidRPr="00F43B29">
        <w:rPr>
          <w:rFonts w:ascii="宋体" w:eastAsia="宋体" w:hAnsi="宋体" w:cs="宋体"/>
          <w:color w:val="333333"/>
          <w:kern w:val="0"/>
          <w:sz w:val="24"/>
          <w:szCs w:val="24"/>
        </w:rPr>
        <w:t>落实中共中央办公厅、国务院办公厅《关于提高技术工人待遇的意见》要求，鼓励用人单位对在聘的高级工、技师、高级技师在学习进修、岗位聘任、职务职级晋升等方面，比照相应层级工程技术人员享受同等待遇。</w:t>
      </w:r>
    </w:p>
    <w:p w:rsidR="00F43B29" w:rsidRPr="00F43B29" w:rsidRDefault="00F43B29" w:rsidP="00F43B29">
      <w:pPr>
        <w:autoSpaceDE w:val="0"/>
        <w:snapToGrid w:val="0"/>
        <w:spacing w:line="360" w:lineRule="auto"/>
        <w:ind w:firstLineChars="200" w:firstLine="482"/>
        <w:rPr>
          <w:rFonts w:ascii="宋体" w:eastAsia="宋体" w:hAnsi="宋体" w:cs="宋体"/>
          <w:color w:val="333333"/>
          <w:kern w:val="0"/>
          <w:szCs w:val="21"/>
        </w:rPr>
      </w:pPr>
      <w:r w:rsidRPr="00F43B29">
        <w:rPr>
          <w:rFonts w:ascii="宋体" w:eastAsia="宋体" w:hAnsi="宋体" w:cs="宋体"/>
          <w:b/>
          <w:bCs/>
          <w:color w:val="333333"/>
          <w:kern w:val="0"/>
          <w:sz w:val="24"/>
          <w:szCs w:val="24"/>
        </w:rPr>
        <w:t>三、组织实施</w:t>
      </w:r>
    </w:p>
    <w:p w:rsidR="00F43B29" w:rsidRPr="00F43B29" w:rsidRDefault="00F43B29" w:rsidP="00F43B29">
      <w:pPr>
        <w:autoSpaceDE w:val="0"/>
        <w:snapToGrid w:val="0"/>
        <w:spacing w:line="360" w:lineRule="auto"/>
        <w:ind w:firstLineChars="200" w:firstLine="480"/>
        <w:rPr>
          <w:rFonts w:ascii="宋体" w:eastAsia="宋体" w:hAnsi="宋体" w:cs="宋体"/>
          <w:color w:val="333333"/>
          <w:kern w:val="0"/>
          <w:szCs w:val="21"/>
        </w:rPr>
      </w:pPr>
      <w:r w:rsidRPr="00F43B29">
        <w:rPr>
          <w:rFonts w:ascii="宋体" w:eastAsia="宋体" w:hAnsi="宋体" w:cs="宋体"/>
          <w:color w:val="333333"/>
          <w:kern w:val="0"/>
          <w:sz w:val="24"/>
          <w:szCs w:val="24"/>
        </w:rPr>
        <w:t>在工程技术领域实现高技能人才与工程技术人才职业发展贯通，促进技能人才与专业技术人才融合发展，是贯彻落实党中央、国务院人才强国战略部署的重要举措，各级人力资源社会保障部门要加强统筹管理，各部门和各有关单位要高度重视，加强领导，精心组织。要健全完善制度，制定具体实施方案，对评价条件、评价程序、评价办法和配套政策等</w:t>
      </w:r>
      <w:proofErr w:type="gramStart"/>
      <w:r w:rsidRPr="00F43B29">
        <w:rPr>
          <w:rFonts w:ascii="宋体" w:eastAsia="宋体" w:hAnsi="宋体" w:cs="宋体"/>
          <w:color w:val="333333"/>
          <w:kern w:val="0"/>
          <w:sz w:val="24"/>
          <w:szCs w:val="24"/>
        </w:rPr>
        <w:t>作出</w:t>
      </w:r>
      <w:proofErr w:type="gramEnd"/>
      <w:r w:rsidRPr="00F43B29">
        <w:rPr>
          <w:rFonts w:ascii="宋体" w:eastAsia="宋体" w:hAnsi="宋体" w:cs="宋体"/>
          <w:color w:val="333333"/>
          <w:kern w:val="0"/>
          <w:sz w:val="24"/>
          <w:szCs w:val="24"/>
        </w:rPr>
        <w:t>具体规定。要严格评价标准，规范评价程序，不得随意降低评价标准条件，不得擅自扩大评价范围。要坚持试点先行，及时总结经验，逐步推开。要完善监管机制，加强指导监督，及时妥善处理工作中遇到的各种新情况新问题。要加强舆论引导，搞好政策解读，引导广大技能人才和专业技术人才积极参与和支持贯通工作，促进人才流动和发展。</w:t>
      </w:r>
    </w:p>
    <w:p w:rsidR="00F43B29" w:rsidRPr="00F43B29" w:rsidRDefault="00F43B29" w:rsidP="00F43B29">
      <w:pPr>
        <w:autoSpaceDE w:val="0"/>
        <w:snapToGrid w:val="0"/>
        <w:spacing w:line="360" w:lineRule="auto"/>
        <w:rPr>
          <w:rFonts w:ascii="宋体" w:eastAsia="宋体" w:hAnsi="宋体" w:cs="宋体"/>
          <w:color w:val="333333"/>
          <w:kern w:val="0"/>
          <w:szCs w:val="21"/>
        </w:rPr>
      </w:pPr>
      <w:r w:rsidRPr="00F43B29">
        <w:rPr>
          <w:rFonts w:ascii="宋体" w:eastAsia="宋体" w:hAnsi="宋体" w:cs="宋体"/>
          <w:color w:val="333333"/>
          <w:kern w:val="0"/>
          <w:sz w:val="24"/>
          <w:szCs w:val="24"/>
        </w:rPr>
        <w:t>    </w:t>
      </w:r>
    </w:p>
    <w:p w:rsidR="00F43B29" w:rsidRPr="00F43B29" w:rsidRDefault="00F43B29" w:rsidP="00F43B29">
      <w:pPr>
        <w:widowControl/>
        <w:spacing w:line="360" w:lineRule="auto"/>
        <w:ind w:firstLine="480"/>
        <w:jc w:val="left"/>
        <w:rPr>
          <w:rFonts w:ascii="宋体" w:eastAsia="宋体" w:hAnsi="宋体" w:cs="宋体"/>
          <w:color w:val="333333"/>
          <w:kern w:val="0"/>
          <w:szCs w:val="21"/>
        </w:rPr>
      </w:pPr>
      <w:r w:rsidRPr="00F43B29">
        <w:rPr>
          <w:rFonts w:ascii="宋体" w:eastAsia="宋体" w:hAnsi="宋体" w:cs="宋体"/>
          <w:color w:val="333333"/>
          <w:kern w:val="0"/>
          <w:sz w:val="24"/>
          <w:szCs w:val="24"/>
        </w:rPr>
        <w:lastRenderedPageBreak/>
        <w:t> </w:t>
      </w:r>
    </w:p>
    <w:p w:rsidR="00F43B29" w:rsidRPr="00F43B29" w:rsidRDefault="00F43B29" w:rsidP="00F43B29">
      <w:pPr>
        <w:widowControl/>
        <w:spacing w:line="360" w:lineRule="auto"/>
        <w:ind w:firstLine="480"/>
        <w:jc w:val="left"/>
        <w:rPr>
          <w:rFonts w:ascii="宋体" w:eastAsia="宋体" w:hAnsi="宋体" w:cs="宋体"/>
          <w:color w:val="333333"/>
          <w:kern w:val="0"/>
          <w:szCs w:val="21"/>
        </w:rPr>
      </w:pPr>
      <w:r w:rsidRPr="00F43B29">
        <w:rPr>
          <w:rFonts w:ascii="宋体" w:eastAsia="宋体" w:hAnsi="宋体" w:cs="宋体"/>
          <w:color w:val="333333"/>
          <w:kern w:val="0"/>
          <w:sz w:val="24"/>
          <w:szCs w:val="24"/>
        </w:rPr>
        <w:t> </w:t>
      </w:r>
    </w:p>
    <w:p w:rsidR="00F43B29" w:rsidRPr="00F43B29" w:rsidRDefault="00F43B29" w:rsidP="00F43B29">
      <w:pPr>
        <w:widowControl/>
        <w:spacing w:line="360" w:lineRule="auto"/>
        <w:ind w:firstLine="480"/>
        <w:jc w:val="left"/>
        <w:rPr>
          <w:rFonts w:ascii="宋体" w:eastAsia="宋体" w:hAnsi="宋体" w:cs="宋体"/>
          <w:color w:val="333333"/>
          <w:kern w:val="0"/>
          <w:szCs w:val="21"/>
        </w:rPr>
      </w:pPr>
      <w:r w:rsidRPr="00F43B29">
        <w:rPr>
          <w:rFonts w:ascii="宋体" w:eastAsia="宋体" w:hAnsi="宋体" w:cs="宋体"/>
          <w:color w:val="333333"/>
          <w:kern w:val="0"/>
          <w:sz w:val="24"/>
          <w:szCs w:val="24"/>
        </w:rPr>
        <w:t>                     人力资源社会保障部</w:t>
      </w:r>
    </w:p>
    <w:p w:rsidR="00F43B29" w:rsidRPr="00F43B29" w:rsidRDefault="00F43B29" w:rsidP="00F43B29">
      <w:pPr>
        <w:widowControl/>
        <w:spacing w:line="450" w:lineRule="atLeast"/>
        <w:jc w:val="left"/>
        <w:rPr>
          <w:rFonts w:ascii="微软雅黑" w:eastAsia="微软雅黑" w:hAnsi="微软雅黑" w:cs="宋体"/>
          <w:color w:val="333333"/>
          <w:kern w:val="0"/>
          <w:szCs w:val="21"/>
        </w:rPr>
      </w:pPr>
      <w:r w:rsidRPr="00F43B29">
        <w:rPr>
          <w:rFonts w:ascii="微软雅黑" w:eastAsia="微软雅黑" w:hAnsi="微软雅黑" w:cs="宋体" w:hint="eastAsia"/>
          <w:color w:val="333333"/>
          <w:kern w:val="0"/>
          <w:sz w:val="24"/>
          <w:szCs w:val="24"/>
        </w:rPr>
        <w:t xml:space="preserve">                        </w:t>
      </w:r>
      <w:r>
        <w:rPr>
          <w:rFonts w:ascii="微软雅黑" w:eastAsia="微软雅黑" w:hAnsi="微软雅黑" w:cs="宋体" w:hint="eastAsia"/>
          <w:color w:val="333333"/>
          <w:kern w:val="0"/>
          <w:sz w:val="24"/>
          <w:szCs w:val="24"/>
        </w:rPr>
        <w:t xml:space="preserve">                          </w:t>
      </w:r>
      <w:r w:rsidRPr="00F43B29">
        <w:rPr>
          <w:rFonts w:ascii="微软雅黑" w:eastAsia="微软雅黑" w:hAnsi="微软雅黑" w:cs="宋体" w:hint="eastAsia"/>
          <w:color w:val="333333"/>
          <w:kern w:val="0"/>
          <w:sz w:val="24"/>
          <w:szCs w:val="24"/>
        </w:rPr>
        <w:t>  2018年11月25日</w:t>
      </w:r>
      <w:r w:rsidRPr="00F43B29">
        <w:rPr>
          <w:rFonts w:ascii="微软雅黑" w:eastAsia="微软雅黑" w:hAnsi="微软雅黑" w:cs="宋体" w:hint="eastAsia"/>
          <w:color w:val="333333"/>
          <w:kern w:val="0"/>
          <w:szCs w:val="21"/>
        </w:rPr>
        <w:t xml:space="preserve">  </w:t>
      </w:r>
    </w:p>
    <w:p w:rsidR="008709AC" w:rsidRPr="00F43B29" w:rsidRDefault="008709AC">
      <w:pPr>
        <w:rPr>
          <w:b/>
        </w:rPr>
      </w:pPr>
    </w:p>
    <w:sectPr w:rsidR="008709AC" w:rsidRPr="00F43B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EC0" w:rsidRDefault="00EA7EC0" w:rsidP="00AB4744">
      <w:r>
        <w:separator/>
      </w:r>
    </w:p>
  </w:endnote>
  <w:endnote w:type="continuationSeparator" w:id="0">
    <w:p w:rsidR="00EA7EC0" w:rsidRDefault="00EA7EC0" w:rsidP="00AB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EC0" w:rsidRDefault="00EA7EC0" w:rsidP="00AB4744">
      <w:r>
        <w:separator/>
      </w:r>
    </w:p>
  </w:footnote>
  <w:footnote w:type="continuationSeparator" w:id="0">
    <w:p w:rsidR="00EA7EC0" w:rsidRDefault="00EA7EC0" w:rsidP="00AB4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55EF9"/>
    <w:multiLevelType w:val="multilevel"/>
    <w:tmpl w:val="6C02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29"/>
    <w:rsid w:val="008709AC"/>
    <w:rsid w:val="00AB4744"/>
    <w:rsid w:val="00B041F5"/>
    <w:rsid w:val="00BC0150"/>
    <w:rsid w:val="00E26389"/>
    <w:rsid w:val="00EA7EC0"/>
    <w:rsid w:val="00F43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3B29"/>
    <w:rPr>
      <w:strike w:val="0"/>
      <w:dstrike w:val="0"/>
      <w:color w:val="000000"/>
      <w:u w:val="none"/>
      <w:effect w:val="none"/>
    </w:rPr>
  </w:style>
  <w:style w:type="character" w:customStyle="1" w:styleId="cjfengxiangdao1">
    <w:name w:val="cj_fengxiangdao1"/>
    <w:basedOn w:val="a0"/>
    <w:rsid w:val="00F43B29"/>
    <w:rPr>
      <w:color w:val="333333"/>
      <w:sz w:val="21"/>
      <w:szCs w:val="21"/>
    </w:rPr>
  </w:style>
  <w:style w:type="paragraph" w:styleId="a4">
    <w:name w:val="header"/>
    <w:basedOn w:val="a"/>
    <w:link w:val="Char"/>
    <w:uiPriority w:val="99"/>
    <w:unhideWhenUsed/>
    <w:rsid w:val="00AB47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B4744"/>
    <w:rPr>
      <w:sz w:val="18"/>
      <w:szCs w:val="18"/>
    </w:rPr>
  </w:style>
  <w:style w:type="paragraph" w:styleId="a5">
    <w:name w:val="footer"/>
    <w:basedOn w:val="a"/>
    <w:link w:val="Char0"/>
    <w:uiPriority w:val="99"/>
    <w:unhideWhenUsed/>
    <w:rsid w:val="00AB4744"/>
    <w:pPr>
      <w:tabs>
        <w:tab w:val="center" w:pos="4153"/>
        <w:tab w:val="right" w:pos="8306"/>
      </w:tabs>
      <w:snapToGrid w:val="0"/>
      <w:jc w:val="left"/>
    </w:pPr>
    <w:rPr>
      <w:sz w:val="18"/>
      <w:szCs w:val="18"/>
    </w:rPr>
  </w:style>
  <w:style w:type="character" w:customStyle="1" w:styleId="Char0">
    <w:name w:val="页脚 Char"/>
    <w:basedOn w:val="a0"/>
    <w:link w:val="a5"/>
    <w:uiPriority w:val="99"/>
    <w:rsid w:val="00AB4744"/>
    <w:rPr>
      <w:sz w:val="18"/>
      <w:szCs w:val="18"/>
    </w:rPr>
  </w:style>
  <w:style w:type="paragraph" w:styleId="a6">
    <w:name w:val="Balloon Text"/>
    <w:basedOn w:val="a"/>
    <w:link w:val="Char1"/>
    <w:uiPriority w:val="99"/>
    <w:semiHidden/>
    <w:unhideWhenUsed/>
    <w:rsid w:val="00AB4744"/>
    <w:rPr>
      <w:sz w:val="18"/>
      <w:szCs w:val="18"/>
    </w:rPr>
  </w:style>
  <w:style w:type="character" w:customStyle="1" w:styleId="Char1">
    <w:name w:val="批注框文本 Char"/>
    <w:basedOn w:val="a0"/>
    <w:link w:val="a6"/>
    <w:uiPriority w:val="99"/>
    <w:semiHidden/>
    <w:rsid w:val="00AB47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3B29"/>
    <w:rPr>
      <w:strike w:val="0"/>
      <w:dstrike w:val="0"/>
      <w:color w:val="000000"/>
      <w:u w:val="none"/>
      <w:effect w:val="none"/>
    </w:rPr>
  </w:style>
  <w:style w:type="character" w:customStyle="1" w:styleId="cjfengxiangdao1">
    <w:name w:val="cj_fengxiangdao1"/>
    <w:basedOn w:val="a0"/>
    <w:rsid w:val="00F43B29"/>
    <w:rPr>
      <w:color w:val="333333"/>
      <w:sz w:val="21"/>
      <w:szCs w:val="21"/>
    </w:rPr>
  </w:style>
  <w:style w:type="paragraph" w:styleId="a4">
    <w:name w:val="header"/>
    <w:basedOn w:val="a"/>
    <w:link w:val="Char"/>
    <w:uiPriority w:val="99"/>
    <w:unhideWhenUsed/>
    <w:rsid w:val="00AB47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B4744"/>
    <w:rPr>
      <w:sz w:val="18"/>
      <w:szCs w:val="18"/>
    </w:rPr>
  </w:style>
  <w:style w:type="paragraph" w:styleId="a5">
    <w:name w:val="footer"/>
    <w:basedOn w:val="a"/>
    <w:link w:val="Char0"/>
    <w:uiPriority w:val="99"/>
    <w:unhideWhenUsed/>
    <w:rsid w:val="00AB4744"/>
    <w:pPr>
      <w:tabs>
        <w:tab w:val="center" w:pos="4153"/>
        <w:tab w:val="right" w:pos="8306"/>
      </w:tabs>
      <w:snapToGrid w:val="0"/>
      <w:jc w:val="left"/>
    </w:pPr>
    <w:rPr>
      <w:sz w:val="18"/>
      <w:szCs w:val="18"/>
    </w:rPr>
  </w:style>
  <w:style w:type="character" w:customStyle="1" w:styleId="Char0">
    <w:name w:val="页脚 Char"/>
    <w:basedOn w:val="a0"/>
    <w:link w:val="a5"/>
    <w:uiPriority w:val="99"/>
    <w:rsid w:val="00AB4744"/>
    <w:rPr>
      <w:sz w:val="18"/>
      <w:szCs w:val="18"/>
    </w:rPr>
  </w:style>
  <w:style w:type="paragraph" w:styleId="a6">
    <w:name w:val="Balloon Text"/>
    <w:basedOn w:val="a"/>
    <w:link w:val="Char1"/>
    <w:uiPriority w:val="99"/>
    <w:semiHidden/>
    <w:unhideWhenUsed/>
    <w:rsid w:val="00AB4744"/>
    <w:rPr>
      <w:sz w:val="18"/>
      <w:szCs w:val="18"/>
    </w:rPr>
  </w:style>
  <w:style w:type="character" w:customStyle="1" w:styleId="Char1">
    <w:name w:val="批注框文本 Char"/>
    <w:basedOn w:val="a0"/>
    <w:link w:val="a6"/>
    <w:uiPriority w:val="99"/>
    <w:semiHidden/>
    <w:rsid w:val="00AB47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064140">
      <w:bodyDiv w:val="1"/>
      <w:marLeft w:val="0"/>
      <w:marRight w:val="0"/>
      <w:marTop w:val="0"/>
      <w:marBottom w:val="0"/>
      <w:divBdr>
        <w:top w:val="none" w:sz="0" w:space="0" w:color="auto"/>
        <w:left w:val="none" w:sz="0" w:space="0" w:color="auto"/>
        <w:bottom w:val="none" w:sz="0" w:space="0" w:color="auto"/>
        <w:right w:val="none" w:sz="0" w:space="0" w:color="auto"/>
      </w:divBdr>
      <w:divsChild>
        <w:div w:id="317535572">
          <w:marLeft w:val="0"/>
          <w:marRight w:val="0"/>
          <w:marTop w:val="0"/>
          <w:marBottom w:val="0"/>
          <w:divBdr>
            <w:top w:val="none" w:sz="0" w:space="0" w:color="auto"/>
            <w:left w:val="none" w:sz="0" w:space="0" w:color="auto"/>
            <w:bottom w:val="none" w:sz="0" w:space="0" w:color="auto"/>
            <w:right w:val="none" w:sz="0" w:space="0" w:color="auto"/>
          </w:divBdr>
          <w:divsChild>
            <w:div w:id="202520167">
              <w:marLeft w:val="0"/>
              <w:marRight w:val="0"/>
              <w:marTop w:val="0"/>
              <w:marBottom w:val="0"/>
              <w:divBdr>
                <w:top w:val="none" w:sz="0" w:space="0" w:color="auto"/>
                <w:left w:val="none" w:sz="0" w:space="0" w:color="auto"/>
                <w:bottom w:val="none" w:sz="0" w:space="0" w:color="auto"/>
                <w:right w:val="none" w:sz="0" w:space="0" w:color="auto"/>
              </w:divBdr>
              <w:divsChild>
                <w:div w:id="675307684">
                  <w:marLeft w:val="0"/>
                  <w:marRight w:val="0"/>
                  <w:marTop w:val="210"/>
                  <w:marBottom w:val="0"/>
                  <w:divBdr>
                    <w:top w:val="single" w:sz="6" w:space="23" w:color="EAEAEA"/>
                    <w:left w:val="single" w:sz="6" w:space="30" w:color="EAEAEA"/>
                    <w:bottom w:val="single" w:sz="6" w:space="23" w:color="EAEAEA"/>
                    <w:right w:val="single" w:sz="6" w:space="30" w:color="EAEAEA"/>
                  </w:divBdr>
                  <w:divsChild>
                    <w:div w:id="355161191">
                      <w:marLeft w:val="0"/>
                      <w:marRight w:val="0"/>
                      <w:marTop w:val="0"/>
                      <w:marBottom w:val="0"/>
                      <w:divBdr>
                        <w:top w:val="none" w:sz="0" w:space="0" w:color="auto"/>
                        <w:left w:val="none" w:sz="0" w:space="0" w:color="auto"/>
                        <w:bottom w:val="none" w:sz="0" w:space="0" w:color="auto"/>
                        <w:right w:val="none" w:sz="0" w:space="0" w:color="auto"/>
                      </w:divBdr>
                      <w:divsChild>
                        <w:div w:id="1687322353">
                          <w:marLeft w:val="0"/>
                          <w:marRight w:val="0"/>
                          <w:marTop w:val="0"/>
                          <w:marBottom w:val="0"/>
                          <w:divBdr>
                            <w:top w:val="none" w:sz="0" w:space="0" w:color="auto"/>
                            <w:left w:val="none" w:sz="0" w:space="0" w:color="auto"/>
                            <w:bottom w:val="none" w:sz="0" w:space="0" w:color="auto"/>
                            <w:right w:val="none" w:sz="0" w:space="0" w:color="auto"/>
                          </w:divBdr>
                        </w:div>
                      </w:divsChild>
                    </w:div>
                    <w:div w:id="5133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401</Words>
  <Characters>2287</Characters>
  <Application>Microsoft Office Word</Application>
  <DocSecurity>0</DocSecurity>
  <Lines>19</Lines>
  <Paragraphs>5</Paragraphs>
  <ScaleCrop>false</ScaleCrop>
  <Company>Sky123.Org</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4</cp:revision>
  <cp:lastPrinted>2020-06-11T08:57:00Z</cp:lastPrinted>
  <dcterms:created xsi:type="dcterms:W3CDTF">2020-05-31T05:17:00Z</dcterms:created>
  <dcterms:modified xsi:type="dcterms:W3CDTF">2020-06-11T08:59:00Z</dcterms:modified>
</cp:coreProperties>
</file>